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Pr="00FA6EFD" w:rsidRDefault="00D23109" w:rsidP="00D23109">
      <w:pPr>
        <w:pStyle w:val="6"/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РОССИЙСКАЯ ФЕДЕРАЦИЯ</w:t>
      </w:r>
    </w:p>
    <w:p w:rsidR="00D23109" w:rsidRPr="00FA6EFD" w:rsidRDefault="00D23109" w:rsidP="00FA6EFD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ЛУХСКИЙ МУНИЦИПАЛЬНЫЙ РАЙОН</w:t>
      </w: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</w:rPr>
      </w:pPr>
      <w:r w:rsidRPr="00FA6EFD">
        <w:rPr>
          <w:b/>
        </w:rPr>
        <w:t xml:space="preserve">ТРЕТЬЕГО СОЗЫВА </w:t>
      </w:r>
    </w:p>
    <w:p w:rsidR="00D23109" w:rsidRPr="00FA6EFD" w:rsidRDefault="00D23109" w:rsidP="00AA4332">
      <w:pPr>
        <w:pStyle w:val="a3"/>
        <w:rPr>
          <w:b/>
          <w:bCs/>
        </w:rPr>
      </w:pP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 Е Ш Е Н И Е</w:t>
      </w:r>
    </w:p>
    <w:p w:rsidR="00D23109" w:rsidRPr="00FA6EFD" w:rsidRDefault="00CC0B9F" w:rsidP="005741FC">
      <w:pPr>
        <w:pStyle w:val="a3"/>
      </w:pPr>
      <w:r w:rsidRPr="00FA6EFD">
        <w:t xml:space="preserve">  </w:t>
      </w:r>
      <w:r w:rsidR="005741FC" w:rsidRPr="00FA6EFD">
        <w:t xml:space="preserve"> </w:t>
      </w:r>
      <w:r w:rsidR="00E51FD9" w:rsidRPr="00FA6EFD">
        <w:t>О</w:t>
      </w:r>
      <w:r w:rsidR="00D23109" w:rsidRPr="00FA6EFD">
        <w:t>т</w:t>
      </w:r>
      <w:r w:rsidR="00E51FD9" w:rsidRPr="00FA6EFD">
        <w:t xml:space="preserve">  </w:t>
      </w:r>
      <w:r w:rsidRPr="00FA6EFD">
        <w:t xml:space="preserve"> </w:t>
      </w:r>
      <w:r w:rsidR="00E51FD9" w:rsidRPr="00FA6EFD">
        <w:t xml:space="preserve">   </w:t>
      </w:r>
      <w:r w:rsidR="00A44FB6">
        <w:t>0</w:t>
      </w:r>
      <w:r w:rsidR="000D762C">
        <w:t>1</w:t>
      </w:r>
      <w:r w:rsidR="004B5B7F" w:rsidRPr="00FA6EFD">
        <w:t>.0</w:t>
      </w:r>
      <w:r w:rsidR="000D762C">
        <w:t>8</w:t>
      </w:r>
      <w:r w:rsidR="004B5B7F" w:rsidRPr="00FA6EFD">
        <w:t>.2017</w:t>
      </w:r>
      <w:r w:rsidR="005741FC" w:rsidRPr="00FA6EFD">
        <w:t xml:space="preserve"> г.                  </w:t>
      </w:r>
      <w:r w:rsidR="00D23109" w:rsidRPr="00FA6EFD">
        <w:t xml:space="preserve">                           </w:t>
      </w:r>
      <w:r w:rsidR="007D246A" w:rsidRPr="00FA6EFD">
        <w:t xml:space="preserve">                            №</w:t>
      </w:r>
      <w:r w:rsidR="00604F7C" w:rsidRPr="00FA6EFD">
        <w:t xml:space="preserve"> </w:t>
      </w:r>
      <w:r w:rsidR="00D23109" w:rsidRPr="00FA6EFD">
        <w:t xml:space="preserve"> </w:t>
      </w:r>
      <w:r w:rsidR="00150634" w:rsidRPr="00FA6EFD">
        <w:rPr>
          <w:lang w:val="en-US"/>
        </w:rPr>
        <w:t>2</w:t>
      </w:r>
      <w:r w:rsidR="009B46A4">
        <w:t>3А</w:t>
      </w:r>
      <w:r w:rsidR="00D23109" w:rsidRPr="00FA6EFD">
        <w:t xml:space="preserve">                                              </w:t>
      </w:r>
      <w:r w:rsidR="007D246A" w:rsidRPr="00FA6EFD">
        <w:t xml:space="preserve">    </w:t>
      </w:r>
      <w:r w:rsidR="00D23109" w:rsidRPr="00FA6EFD">
        <w:t xml:space="preserve"> </w:t>
      </w:r>
    </w:p>
    <w:p w:rsidR="00D23109" w:rsidRPr="00FA6EFD" w:rsidRDefault="00D23109" w:rsidP="00D23109">
      <w:pPr>
        <w:pStyle w:val="a3"/>
        <w:rPr>
          <w:bCs/>
        </w:rPr>
      </w:pPr>
    </w:p>
    <w:p w:rsidR="00FA6EFD" w:rsidRDefault="00D23109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«О внесении изменений в решение  Совета Рябовского</w:t>
      </w:r>
      <w:r w:rsidR="00953EB4" w:rsidRPr="00FA6EFD">
        <w:rPr>
          <w:b/>
          <w:bCs/>
        </w:rPr>
        <w:t xml:space="preserve"> сельского поселения</w:t>
      </w:r>
    </w:p>
    <w:p w:rsidR="00D23109" w:rsidRPr="00FA6EFD" w:rsidRDefault="00953EB4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№</w:t>
      </w:r>
      <w:r w:rsidR="004B5B7F" w:rsidRPr="00FA6EFD">
        <w:rPr>
          <w:b/>
          <w:bCs/>
        </w:rPr>
        <w:t>36</w:t>
      </w:r>
      <w:r w:rsidR="00893C1C" w:rsidRPr="00FA6EFD">
        <w:rPr>
          <w:b/>
          <w:bCs/>
        </w:rPr>
        <w:t xml:space="preserve"> от</w:t>
      </w:r>
      <w:r w:rsidR="00604F7C" w:rsidRPr="00FA6EFD">
        <w:rPr>
          <w:b/>
          <w:bCs/>
        </w:rPr>
        <w:t xml:space="preserve"> </w:t>
      </w:r>
      <w:r w:rsidR="004B5B7F" w:rsidRPr="00FA6EFD">
        <w:rPr>
          <w:b/>
          <w:bCs/>
        </w:rPr>
        <w:t>27</w:t>
      </w:r>
      <w:r w:rsidR="00D23109" w:rsidRPr="00FA6EFD">
        <w:rPr>
          <w:b/>
          <w:bCs/>
        </w:rPr>
        <w:t>декабря 201</w:t>
      </w:r>
      <w:r w:rsidR="004B5B7F" w:rsidRPr="00FA6EFD">
        <w:rPr>
          <w:b/>
          <w:bCs/>
        </w:rPr>
        <w:t>6</w:t>
      </w:r>
      <w:r w:rsidR="00D23109" w:rsidRPr="00FA6EFD">
        <w:rPr>
          <w:b/>
          <w:bCs/>
        </w:rPr>
        <w:t xml:space="preserve"> года «О бюджете Рябовского сельского поселения на 201</w:t>
      </w:r>
      <w:r w:rsidR="00893C1C" w:rsidRPr="00FA6EFD">
        <w:rPr>
          <w:b/>
          <w:bCs/>
        </w:rPr>
        <w:t xml:space="preserve">7 и плановый </w:t>
      </w:r>
      <w:r w:rsidR="004B5B7F" w:rsidRPr="00FA6EFD">
        <w:rPr>
          <w:b/>
          <w:bCs/>
        </w:rPr>
        <w:t>период 2018-2019</w:t>
      </w:r>
      <w:r w:rsidR="00D23109"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="00D23109" w:rsidRPr="00FA6EFD">
        <w:rPr>
          <w:b/>
          <w:bCs/>
        </w:rPr>
        <w:t>»</w:t>
      </w:r>
    </w:p>
    <w:p w:rsidR="00D23109" w:rsidRPr="00FA6EFD" w:rsidRDefault="00D23109" w:rsidP="00FA6EFD">
      <w:pPr>
        <w:pStyle w:val="a3"/>
        <w:rPr>
          <w:b/>
          <w:bCs/>
        </w:rPr>
      </w:pPr>
    </w:p>
    <w:p w:rsidR="00D23109" w:rsidRPr="00FA6EFD" w:rsidRDefault="00D23109" w:rsidP="00D23109">
      <w:pPr>
        <w:pStyle w:val="a3"/>
        <w:jc w:val="both"/>
        <w:rPr>
          <w:bCs/>
        </w:rPr>
      </w:pPr>
      <w:r w:rsidRPr="00FA6EFD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</w:t>
      </w:r>
      <w:r w:rsidR="00E96CD4" w:rsidRPr="00FA6EFD">
        <w:rPr>
          <w:bCs/>
        </w:rPr>
        <w:t xml:space="preserve"> </w:t>
      </w:r>
      <w:r w:rsidR="00604F7C" w:rsidRPr="00FA6EFD">
        <w:rPr>
          <w:bCs/>
        </w:rPr>
        <w:t>статьей 31</w:t>
      </w:r>
      <w:r w:rsidRPr="00FA6EFD">
        <w:rPr>
          <w:bCs/>
        </w:rPr>
        <w:t xml:space="preserve"> Бюджетн</w:t>
      </w:r>
      <w:r w:rsidR="00604F7C" w:rsidRPr="00FA6EFD">
        <w:rPr>
          <w:bCs/>
        </w:rPr>
        <w:t>ого</w:t>
      </w:r>
      <w:r w:rsidRPr="00FA6EFD">
        <w:rPr>
          <w:bCs/>
        </w:rPr>
        <w:t xml:space="preserve"> Кодек</w:t>
      </w:r>
      <w:r w:rsidR="00604F7C" w:rsidRPr="00FA6EFD">
        <w:rPr>
          <w:bCs/>
        </w:rPr>
        <w:t>а</w:t>
      </w:r>
      <w:r w:rsidRPr="00FA6EFD">
        <w:rPr>
          <w:bCs/>
        </w:rPr>
        <w:t xml:space="preserve"> РФ, Уставом Рябовского сельского поселения, в целях регулирования бюджетных отношений</w:t>
      </w:r>
    </w:p>
    <w:p w:rsidR="00D23109" w:rsidRPr="00FA6EFD" w:rsidRDefault="00D23109" w:rsidP="00D23109">
      <w:pPr>
        <w:pStyle w:val="a3"/>
        <w:jc w:val="both"/>
        <w:rPr>
          <w:bCs/>
        </w:rPr>
      </w:pP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решил:</w:t>
      </w:r>
    </w:p>
    <w:p w:rsidR="00D23109" w:rsidRPr="00FA6EFD" w:rsidRDefault="00D23109" w:rsidP="00953EB4">
      <w:pPr>
        <w:pStyle w:val="a3"/>
        <w:jc w:val="both"/>
        <w:rPr>
          <w:b/>
          <w:bCs/>
        </w:rPr>
      </w:pPr>
      <w:r w:rsidRPr="00FA6EFD"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 w:rsidRPr="00FA6EFD">
        <w:rPr>
          <w:b/>
          <w:bCs/>
        </w:rPr>
        <w:t xml:space="preserve">36 </w:t>
      </w:r>
      <w:r w:rsidRPr="00FA6EFD">
        <w:rPr>
          <w:b/>
          <w:bCs/>
        </w:rPr>
        <w:t xml:space="preserve">от </w:t>
      </w:r>
      <w:r w:rsidR="004B5B7F" w:rsidRPr="00FA6EFD">
        <w:rPr>
          <w:b/>
          <w:bCs/>
        </w:rPr>
        <w:t>27</w:t>
      </w:r>
      <w:r w:rsidRPr="00FA6EFD">
        <w:rPr>
          <w:b/>
          <w:bCs/>
        </w:rPr>
        <w:t xml:space="preserve"> декабря 20</w:t>
      </w:r>
      <w:r w:rsidR="004B5B7F" w:rsidRPr="00FA6EFD">
        <w:rPr>
          <w:b/>
          <w:bCs/>
        </w:rPr>
        <w:t>16</w:t>
      </w:r>
      <w:r w:rsidRPr="00FA6EFD">
        <w:rPr>
          <w:b/>
          <w:bCs/>
        </w:rPr>
        <w:t xml:space="preserve"> года  «О бюджете Рябовского сельского поселения на 201</w:t>
      </w:r>
      <w:r w:rsidR="004B5B7F" w:rsidRPr="00FA6EFD">
        <w:rPr>
          <w:b/>
          <w:bCs/>
        </w:rPr>
        <w:t>7 и плановый период 2018-2019</w:t>
      </w:r>
      <w:r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Pr="00FA6EFD">
        <w:rPr>
          <w:b/>
          <w:bCs/>
        </w:rPr>
        <w:t xml:space="preserve">» </w:t>
      </w:r>
      <w:r w:rsidR="00595E8B" w:rsidRPr="00FA6EFD">
        <w:rPr>
          <w:b/>
          <w:bCs/>
        </w:rPr>
        <w:t>:</w:t>
      </w:r>
    </w:p>
    <w:p w:rsidR="003B0E85" w:rsidRPr="00FA6EFD" w:rsidRDefault="003B0E85" w:rsidP="00D23109">
      <w:pPr>
        <w:pStyle w:val="a3"/>
        <w:jc w:val="both"/>
        <w:rPr>
          <w:b/>
          <w:bCs/>
        </w:rPr>
      </w:pPr>
    </w:p>
    <w:p w:rsidR="0072689C" w:rsidRPr="00FA6EFD" w:rsidRDefault="00D02E80" w:rsidP="00953EB4">
      <w:pPr>
        <w:jc w:val="both"/>
        <w:rPr>
          <w:sz w:val="24"/>
          <w:szCs w:val="24"/>
        </w:rPr>
      </w:pPr>
      <w:r w:rsidRPr="00FA6EFD">
        <w:rPr>
          <w:b/>
          <w:bCs/>
          <w:sz w:val="24"/>
          <w:szCs w:val="24"/>
        </w:rPr>
        <w:t>1.</w:t>
      </w:r>
      <w:r w:rsidR="0072689C" w:rsidRPr="00FA6EFD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FA6EFD">
        <w:rPr>
          <w:b/>
          <w:sz w:val="24"/>
          <w:szCs w:val="24"/>
        </w:rPr>
        <w:t>на 201</w:t>
      </w:r>
      <w:r w:rsidR="004B5B7F" w:rsidRPr="00FA6EFD">
        <w:rPr>
          <w:b/>
          <w:sz w:val="24"/>
          <w:szCs w:val="24"/>
        </w:rPr>
        <w:t>7 и плановый период 2018-2019</w:t>
      </w:r>
      <w:r w:rsidR="0072689C" w:rsidRPr="00FA6EFD">
        <w:rPr>
          <w:b/>
          <w:sz w:val="24"/>
          <w:szCs w:val="24"/>
        </w:rPr>
        <w:t xml:space="preserve"> год</w:t>
      </w:r>
      <w:r w:rsidR="004B5B7F" w:rsidRPr="00FA6EFD">
        <w:rPr>
          <w:b/>
          <w:sz w:val="24"/>
          <w:szCs w:val="24"/>
        </w:rPr>
        <w:t>ов</w:t>
      </w:r>
      <w:r w:rsidR="0072689C" w:rsidRPr="00FA6EFD">
        <w:rPr>
          <w:b/>
          <w:sz w:val="24"/>
          <w:szCs w:val="24"/>
        </w:rPr>
        <w:t xml:space="preserve">» </w:t>
      </w:r>
      <w:r w:rsidR="0072689C" w:rsidRPr="00FA6EFD">
        <w:rPr>
          <w:sz w:val="24"/>
          <w:szCs w:val="24"/>
        </w:rPr>
        <w:t>изложить в следующей редакции:</w:t>
      </w:r>
    </w:p>
    <w:p w:rsidR="0072689C" w:rsidRPr="00FA6EFD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FA6EFD" w:rsidRDefault="0072689C" w:rsidP="0072689C">
      <w:pPr>
        <w:pStyle w:val="a3"/>
        <w:ind w:firstLine="708"/>
        <w:jc w:val="both"/>
        <w:rPr>
          <w:bCs/>
        </w:rPr>
      </w:pPr>
      <w:r w:rsidRPr="00FA6EFD">
        <w:rPr>
          <w:bCs/>
        </w:rPr>
        <w:t>Утвердить основные характеристики бюджета поселения на 201</w:t>
      </w:r>
      <w:r w:rsidR="004B5B7F" w:rsidRPr="00FA6EFD">
        <w:rPr>
          <w:bCs/>
        </w:rPr>
        <w:t>7</w:t>
      </w:r>
      <w:r w:rsidRPr="00FA6EFD">
        <w:rPr>
          <w:bCs/>
        </w:rPr>
        <w:t xml:space="preserve"> год: 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доходов бюджета в сумме </w:t>
      </w:r>
      <w:r w:rsidR="00E927B3" w:rsidRPr="00FA6EFD">
        <w:rPr>
          <w:b/>
          <w:bCs/>
        </w:rPr>
        <w:t>5799,096</w:t>
      </w:r>
      <w:r w:rsidR="000863C5" w:rsidRPr="00FA6EFD">
        <w:rPr>
          <w:b/>
          <w:bCs/>
        </w:rPr>
        <w:t xml:space="preserve"> тыс.</w:t>
      </w:r>
      <w:r w:rsidRPr="00FA6EFD">
        <w:rPr>
          <w:bCs/>
        </w:rPr>
        <w:t>.руб.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расходов бюджета в сумме </w:t>
      </w:r>
      <w:r w:rsidR="00E927B3" w:rsidRPr="00FA6EFD">
        <w:rPr>
          <w:b/>
          <w:bCs/>
        </w:rPr>
        <w:t>5799,096</w:t>
      </w:r>
      <w:r w:rsidRPr="00FA6EFD">
        <w:rPr>
          <w:b/>
          <w:bCs/>
        </w:rPr>
        <w:t xml:space="preserve"> </w:t>
      </w:r>
      <w:r w:rsidRPr="00FA6EFD">
        <w:rPr>
          <w:bCs/>
        </w:rPr>
        <w:t>тыс. 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дефицит бюджета в сумме  </w:t>
      </w:r>
      <w:r w:rsidR="00227B1C" w:rsidRPr="00FA6EFD">
        <w:rPr>
          <w:bCs/>
        </w:rPr>
        <w:t>0,00</w:t>
      </w:r>
      <w:r w:rsidRPr="00FA6EFD">
        <w:rPr>
          <w:bCs/>
        </w:rPr>
        <w:t xml:space="preserve"> тыс. руб.</w:t>
      </w:r>
    </w:p>
    <w:p w:rsidR="00893C1C" w:rsidRPr="00FA6EFD" w:rsidRDefault="00893C1C" w:rsidP="0072689C">
      <w:pPr>
        <w:pStyle w:val="a3"/>
        <w:jc w:val="both"/>
        <w:rPr>
          <w:bCs/>
        </w:rPr>
      </w:pPr>
    </w:p>
    <w:p w:rsidR="00E50639" w:rsidRDefault="00A44FB6" w:rsidP="0072689C">
      <w:pPr>
        <w:pStyle w:val="a3"/>
        <w:jc w:val="both"/>
        <w:rPr>
          <w:bCs/>
        </w:rPr>
      </w:pPr>
      <w:r>
        <w:rPr>
          <w:b/>
          <w:bCs/>
        </w:rPr>
        <w:t>2.</w:t>
      </w:r>
      <w:r w:rsidR="00E50639" w:rsidRPr="00FA6EFD">
        <w:rPr>
          <w:b/>
          <w:bCs/>
        </w:rPr>
        <w:t xml:space="preserve">  В статью 7. «Бюджетные ассигнования бюджета Рябовского сельского поселения на 2017 год» в Приложении №6 </w:t>
      </w:r>
      <w:r w:rsidR="00F05F4F" w:rsidRPr="00FA6EFD">
        <w:rPr>
          <w:b/>
          <w:bCs/>
        </w:rPr>
        <w:t xml:space="preserve"> «</w:t>
      </w:r>
      <w:r w:rsidR="00F05F4F" w:rsidRPr="00FA6EFD">
        <w:rPr>
          <w:bCs/>
        </w:rPr>
        <w:t>Распределение бюджетных ассигнований по целевым статьям (муниципальным 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</w:t>
      </w:r>
      <w:r w:rsidR="00FD1C8A" w:rsidRPr="00FA6EFD">
        <w:rPr>
          <w:bCs/>
        </w:rPr>
        <w:t xml:space="preserve"> самоуправления Рябовского сельского поселения), группам видов расходов классификации расходов бюджета поселения на 2017</w:t>
      </w:r>
      <w:r w:rsidR="00C417C9">
        <w:rPr>
          <w:bCs/>
        </w:rPr>
        <w:t xml:space="preserve"> год внести следующие изменения:</w:t>
      </w:r>
    </w:p>
    <w:p w:rsidR="00C417C9" w:rsidRPr="00FA6EFD" w:rsidRDefault="00C417C9" w:rsidP="000D762C">
      <w:pPr>
        <w:pStyle w:val="a3"/>
        <w:jc w:val="both"/>
        <w:rPr>
          <w:bCs/>
        </w:rPr>
      </w:pPr>
      <w:r>
        <w:rPr>
          <w:bCs/>
        </w:rPr>
        <w:t xml:space="preserve">-     </w:t>
      </w:r>
    </w:p>
    <w:p w:rsidR="00E07C67" w:rsidRPr="00FA6EFD" w:rsidRDefault="001042F0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 по строке 0430100160 200 Прочие мероприятия по благоустройству территории Рябовского сельского поселения вместо числа </w:t>
      </w:r>
      <w:r w:rsidR="000D762C">
        <w:rPr>
          <w:bCs/>
        </w:rPr>
        <w:t>720</w:t>
      </w:r>
      <w:r w:rsidR="00C417C9">
        <w:rPr>
          <w:bCs/>
        </w:rPr>
        <w:t>,622=52</w:t>
      </w:r>
      <w:r w:rsidR="00E07C67" w:rsidRPr="00FA6EFD">
        <w:rPr>
          <w:bCs/>
        </w:rPr>
        <w:t>»</w:t>
      </w:r>
    </w:p>
    <w:p w:rsidR="00203740" w:rsidRDefault="00E07C67" w:rsidP="0072689C">
      <w:pPr>
        <w:pStyle w:val="a3"/>
        <w:jc w:val="both"/>
        <w:rPr>
          <w:bCs/>
        </w:rPr>
      </w:pPr>
      <w:r w:rsidRPr="00FA6EFD">
        <w:rPr>
          <w:bCs/>
        </w:rPr>
        <w:t>внести число «</w:t>
      </w:r>
      <w:r w:rsidR="000D762C">
        <w:rPr>
          <w:bCs/>
        </w:rPr>
        <w:t>8</w:t>
      </w:r>
      <w:r w:rsidR="00C417C9">
        <w:rPr>
          <w:bCs/>
        </w:rPr>
        <w:t>2</w:t>
      </w:r>
      <w:r w:rsidR="00B4512B">
        <w:rPr>
          <w:bCs/>
        </w:rPr>
        <w:t>0</w:t>
      </w:r>
      <w:r w:rsidR="00C417C9">
        <w:rPr>
          <w:bCs/>
        </w:rPr>
        <w:t>,622=52</w:t>
      </w:r>
      <w:r w:rsidRPr="00FA6EFD">
        <w:rPr>
          <w:bCs/>
        </w:rPr>
        <w:t>»</w:t>
      </w:r>
    </w:p>
    <w:p w:rsidR="000D762C" w:rsidRDefault="000D762C" w:rsidP="0072689C">
      <w:pPr>
        <w:pStyle w:val="a3"/>
        <w:jc w:val="both"/>
        <w:rPr>
          <w:bCs/>
        </w:rPr>
      </w:pPr>
      <w:r>
        <w:rPr>
          <w:bCs/>
        </w:rPr>
        <w:t xml:space="preserve">-  по строке 0510100170 600 Обеспечение деятельности подведомственных  учреждений вместо числа </w:t>
      </w:r>
      <w:r w:rsidR="009D0317">
        <w:rPr>
          <w:bCs/>
        </w:rPr>
        <w:t>«1 807,900» внести число «1</w:t>
      </w:r>
      <w:r w:rsidR="00BC274A">
        <w:rPr>
          <w:bCs/>
        </w:rPr>
        <w:t xml:space="preserve"> </w:t>
      </w:r>
      <w:r w:rsidR="009D0317">
        <w:rPr>
          <w:bCs/>
        </w:rPr>
        <w:t>707,900»</w:t>
      </w:r>
    </w:p>
    <w:p w:rsidR="006C6A55" w:rsidRPr="00FA6EFD" w:rsidRDefault="006C6A55" w:rsidP="006C6A55">
      <w:pPr>
        <w:pStyle w:val="a3"/>
        <w:jc w:val="both"/>
        <w:rPr>
          <w:bCs/>
        </w:rPr>
      </w:pPr>
    </w:p>
    <w:p w:rsidR="00116003" w:rsidRPr="00FA6EFD" w:rsidRDefault="00116003" w:rsidP="00116003">
      <w:pPr>
        <w:pStyle w:val="af2"/>
        <w:rPr>
          <w:b/>
          <w:sz w:val="24"/>
          <w:szCs w:val="24"/>
        </w:rPr>
      </w:pPr>
    </w:p>
    <w:p w:rsidR="0072689C" w:rsidRDefault="00EC1434" w:rsidP="00893C1C">
      <w:pPr>
        <w:pStyle w:val="a3"/>
        <w:jc w:val="both"/>
      </w:pPr>
      <w:r w:rsidRPr="00FA6EFD">
        <w:rPr>
          <w:b/>
        </w:rPr>
        <w:t xml:space="preserve">    </w:t>
      </w:r>
      <w:r w:rsidR="0072689C" w:rsidRPr="00FA6EFD">
        <w:rPr>
          <w:b/>
        </w:rPr>
        <w:t>В</w:t>
      </w:r>
      <w:r w:rsidR="0072689C" w:rsidRPr="00FA6EFD">
        <w:t xml:space="preserve"> </w:t>
      </w:r>
      <w:r w:rsidR="0072689C" w:rsidRPr="00FA6EFD">
        <w:rPr>
          <w:b/>
        </w:rPr>
        <w:t>Приложени</w:t>
      </w:r>
      <w:r w:rsidR="00A7503D" w:rsidRPr="00FA6EFD">
        <w:rPr>
          <w:b/>
        </w:rPr>
        <w:t>е</w:t>
      </w:r>
      <w:r w:rsidR="0072689C" w:rsidRPr="00FA6EFD">
        <w:rPr>
          <w:b/>
        </w:rPr>
        <w:t xml:space="preserve"> №</w:t>
      </w:r>
      <w:r w:rsidR="00BC6FB6" w:rsidRPr="00FA6EFD">
        <w:rPr>
          <w:b/>
        </w:rPr>
        <w:t>7</w:t>
      </w:r>
      <w:r w:rsidR="0072689C" w:rsidRPr="00FA6EFD">
        <w:rPr>
          <w:b/>
        </w:rPr>
        <w:t xml:space="preserve"> </w:t>
      </w:r>
      <w:r w:rsidR="0072689C" w:rsidRPr="00FA6EFD">
        <w:t>«Ведомственная структура расходов бюджета сельского поселения на 201</w:t>
      </w:r>
      <w:r w:rsidR="004851E1" w:rsidRPr="00FA6EFD">
        <w:t>7 и плановый период 2018-2019</w:t>
      </w:r>
      <w:r w:rsidR="0072689C" w:rsidRPr="00FA6EFD">
        <w:t xml:space="preserve">  год</w:t>
      </w:r>
      <w:r w:rsidR="004851E1" w:rsidRPr="00FA6EFD">
        <w:t>ов</w:t>
      </w:r>
      <w:r w:rsidR="0072689C" w:rsidRPr="00FA6EFD">
        <w:t>» внести следующие изменения:</w:t>
      </w:r>
    </w:p>
    <w:p w:rsidR="00E94891" w:rsidRDefault="00F1080E" w:rsidP="009D0317">
      <w:pPr>
        <w:pStyle w:val="a3"/>
        <w:jc w:val="both"/>
      </w:pPr>
      <w:r>
        <w:t xml:space="preserve">   </w:t>
      </w:r>
    </w:p>
    <w:p w:rsidR="00643D8F" w:rsidRDefault="00643D8F" w:rsidP="00761D69">
      <w:pPr>
        <w:pStyle w:val="a3"/>
        <w:jc w:val="both"/>
        <w:rPr>
          <w:bCs/>
        </w:rPr>
      </w:pPr>
      <w:r w:rsidRPr="00FA6EFD">
        <w:rPr>
          <w:bCs/>
        </w:rPr>
        <w:t xml:space="preserve">   -  по строке 065 </w:t>
      </w:r>
      <w:r w:rsidR="007919BF" w:rsidRPr="00FA6EFD">
        <w:rPr>
          <w:bCs/>
        </w:rPr>
        <w:t>05 03 0430100160 200 Прочие мероприятия по благоустройству территории Рябовского сельского поселения  вместо числа «</w:t>
      </w:r>
      <w:r w:rsidR="009D0317">
        <w:rPr>
          <w:bCs/>
        </w:rPr>
        <w:t>72</w:t>
      </w:r>
      <w:r w:rsidR="00B4512B">
        <w:rPr>
          <w:bCs/>
        </w:rPr>
        <w:t>0,622=52</w:t>
      </w:r>
      <w:r w:rsidR="007919BF" w:rsidRPr="00FA6EFD">
        <w:rPr>
          <w:bCs/>
        </w:rPr>
        <w:t>» внести число «</w:t>
      </w:r>
      <w:r w:rsidR="009D0317">
        <w:rPr>
          <w:bCs/>
        </w:rPr>
        <w:t>8</w:t>
      </w:r>
      <w:r w:rsidR="00B4512B">
        <w:rPr>
          <w:bCs/>
        </w:rPr>
        <w:t>20,622=52</w:t>
      </w:r>
      <w:r w:rsidR="007919BF" w:rsidRPr="00FA6EFD">
        <w:rPr>
          <w:bCs/>
        </w:rPr>
        <w:t>»</w:t>
      </w:r>
    </w:p>
    <w:p w:rsidR="009D0317" w:rsidRDefault="009D0317" w:rsidP="00761D69">
      <w:pPr>
        <w:pStyle w:val="a3"/>
        <w:jc w:val="both"/>
        <w:rPr>
          <w:bCs/>
        </w:rPr>
      </w:pPr>
      <w:r>
        <w:rPr>
          <w:bCs/>
        </w:rPr>
        <w:lastRenderedPageBreak/>
        <w:t xml:space="preserve">      -   по строке   065 08 01</w:t>
      </w:r>
      <w:r w:rsidR="004D2FA9">
        <w:rPr>
          <w:bCs/>
        </w:rPr>
        <w:t xml:space="preserve"> 0510100170 600 Обеспечение деятельности муниципального учреждения Культурно-досуговый комплекс  вместо числа «1 807,9» внести число «   1 707,9»</w:t>
      </w:r>
    </w:p>
    <w:p w:rsidR="00E53AB4" w:rsidRPr="00FA6EFD" w:rsidRDefault="00E53AB4" w:rsidP="00761D69">
      <w:pPr>
        <w:pStyle w:val="a3"/>
        <w:jc w:val="both"/>
      </w:pPr>
    </w:p>
    <w:p w:rsidR="0072689C" w:rsidRPr="00FA6EFD" w:rsidRDefault="00EC1434" w:rsidP="008311F9">
      <w:pPr>
        <w:pStyle w:val="a3"/>
        <w:jc w:val="both"/>
      </w:pPr>
      <w:r w:rsidRPr="00FA6EFD">
        <w:rPr>
          <w:b/>
        </w:rPr>
        <w:t>2.</w:t>
      </w:r>
      <w:r w:rsidR="0072689C" w:rsidRPr="00FA6EFD">
        <w:rPr>
          <w:b/>
        </w:rPr>
        <w:t>Настоящее Решение вступает в силу с момента официального опубликования</w:t>
      </w:r>
      <w:r w:rsidR="0072689C" w:rsidRPr="00FA6EFD"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</w:t>
      </w:r>
      <w:r w:rsidR="00086783">
        <w:t>.</w:t>
      </w:r>
      <w:r w:rsidR="0072689C" w:rsidRPr="00FA6EFD">
        <w:t xml:space="preserve"> </w:t>
      </w:r>
    </w:p>
    <w:p w:rsidR="00EC1434" w:rsidRPr="00FA6EFD" w:rsidRDefault="00EC1434" w:rsidP="00893C1C">
      <w:pPr>
        <w:pStyle w:val="a3"/>
        <w:ind w:left="1211"/>
        <w:jc w:val="both"/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E53AB4" w:rsidRDefault="00E53AB4" w:rsidP="008311F9">
      <w:pPr>
        <w:jc w:val="both"/>
        <w:rPr>
          <w:sz w:val="24"/>
          <w:szCs w:val="24"/>
        </w:rPr>
      </w:pPr>
    </w:p>
    <w:p w:rsidR="00E53AB4" w:rsidRPr="00FA6EFD" w:rsidRDefault="00E53AB4" w:rsidP="008311F9">
      <w:pPr>
        <w:jc w:val="both"/>
        <w:rPr>
          <w:sz w:val="24"/>
          <w:szCs w:val="24"/>
        </w:rPr>
      </w:pPr>
    </w:p>
    <w:p w:rsidR="00724DF5" w:rsidRPr="00FA6EFD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 xml:space="preserve">Председатель </w:t>
      </w:r>
    </w:p>
    <w:p w:rsidR="008311F9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>Совета Рябовского сельского поселения:                     В.С.Сироткина</w:t>
      </w: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Pr="00FA6EFD" w:rsidRDefault="00086783" w:rsidP="008311F9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Рябовского сельского поселения:                       С.В.Кирсанова</w:t>
      </w: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FA6EFD">
      <w:pPr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FA6EFD" w:rsidRDefault="00643D8F" w:rsidP="00665C9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FA6EFD">
        <w:rPr>
          <w:sz w:val="24"/>
          <w:szCs w:val="24"/>
        </w:rPr>
        <w:t xml:space="preserve">             </w:t>
      </w:r>
      <w:r w:rsidR="00665C93">
        <w:rPr>
          <w:sz w:val="24"/>
          <w:szCs w:val="24"/>
        </w:rPr>
        <w:t xml:space="preserve"> </w:t>
      </w: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Pr="00E01F08">
        <w:rPr>
          <w:sz w:val="24"/>
          <w:szCs w:val="24"/>
        </w:rPr>
        <w:t xml:space="preserve">      от</w:t>
      </w:r>
      <w:r w:rsidR="009B46A4">
        <w:rPr>
          <w:sz w:val="24"/>
          <w:szCs w:val="24"/>
        </w:rPr>
        <w:t>01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9B46A4">
        <w:rPr>
          <w:sz w:val="24"/>
          <w:szCs w:val="24"/>
        </w:rPr>
        <w:t>8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="00665C93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от </w:t>
      </w:r>
      <w:r w:rsidR="009B46A4">
        <w:rPr>
          <w:sz w:val="24"/>
          <w:szCs w:val="24"/>
        </w:rPr>
        <w:t>01</w:t>
      </w:r>
      <w:r w:rsidRPr="00E01F08">
        <w:rPr>
          <w:sz w:val="24"/>
          <w:szCs w:val="24"/>
        </w:rPr>
        <w:t>.</w:t>
      </w:r>
      <w:r w:rsidR="009B46A4">
        <w:rPr>
          <w:sz w:val="24"/>
          <w:szCs w:val="24"/>
        </w:rPr>
        <w:t>08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B41322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  <w:r w:rsidR="00B41322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>9</w:t>
            </w:r>
            <w:r w:rsidR="00B41322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>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228,089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5799,096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9B46A4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9B46A4">
        <w:rPr>
          <w:sz w:val="24"/>
          <w:szCs w:val="24"/>
        </w:rPr>
        <w:t>8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9B4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>2</w:t>
            </w:r>
            <w:r w:rsidR="009B46A4">
              <w:rPr>
                <w:sz w:val="24"/>
                <w:szCs w:val="24"/>
              </w:rPr>
              <w:t>3А</w:t>
            </w:r>
            <w:r w:rsidR="00665C93">
              <w:rPr>
                <w:sz w:val="24"/>
                <w:szCs w:val="24"/>
              </w:rPr>
              <w:t xml:space="preserve"> </w:t>
            </w:r>
            <w:r w:rsidR="00A25449">
              <w:rPr>
                <w:sz w:val="24"/>
                <w:szCs w:val="24"/>
              </w:rPr>
              <w:t xml:space="preserve"> </w:t>
            </w:r>
            <w:r w:rsidR="009B46A4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.0</w:t>
            </w:r>
            <w:r w:rsidR="009B46A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A03F0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AC4F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8B1A94">
              <w:rPr>
                <w:bCs/>
                <w:sz w:val="24"/>
                <w:szCs w:val="24"/>
              </w:rPr>
              <w:t>10</w:t>
            </w:r>
            <w:r w:rsidR="00AC4F9A">
              <w:rPr>
                <w:bCs/>
                <w:sz w:val="24"/>
                <w:szCs w:val="24"/>
              </w:rPr>
              <w:t>09</w:t>
            </w:r>
            <w:r w:rsidR="009A03F0">
              <w:rPr>
                <w:bCs/>
                <w:sz w:val="24"/>
                <w:szCs w:val="24"/>
              </w:rPr>
              <w:t>,</w:t>
            </w:r>
            <w:r w:rsidR="00AC4F9A">
              <w:rPr>
                <w:bCs/>
                <w:sz w:val="24"/>
                <w:szCs w:val="24"/>
              </w:rPr>
              <w:t>8</w:t>
            </w:r>
            <w:r w:rsidR="009A03F0">
              <w:rPr>
                <w:bCs/>
                <w:sz w:val="24"/>
                <w:szCs w:val="24"/>
              </w:rPr>
              <w:t>31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9434A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40,708</w:t>
            </w:r>
            <w:r w:rsidR="00544115" w:rsidRPr="00544115">
              <w:rPr>
                <w:bCs/>
                <w:sz w:val="24"/>
                <w:szCs w:val="24"/>
              </w:rPr>
              <w:t>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58351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83510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8351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D2A25">
              <w:rPr>
                <w:bCs/>
                <w:sz w:val="24"/>
                <w:szCs w:val="24"/>
              </w:rPr>
              <w:t>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583510" w:rsidP="003634C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D10D49">
              <w:rPr>
                <w:bCs/>
                <w:sz w:val="24"/>
                <w:szCs w:val="24"/>
              </w:rPr>
              <w:t>,</w:t>
            </w:r>
            <w:r w:rsidR="003634C9">
              <w:rPr>
                <w:bCs/>
                <w:sz w:val="24"/>
                <w:szCs w:val="24"/>
              </w:rPr>
              <w:t>0</w:t>
            </w:r>
            <w:r w:rsidR="00D10D49">
              <w:rPr>
                <w:bCs/>
                <w:sz w:val="24"/>
                <w:szCs w:val="24"/>
              </w:rPr>
              <w:t>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3634C9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населения,связанные с модернизацией тепловых систем,заменой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1120,622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1120,622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434A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820,622</w:t>
            </w:r>
            <w:r w:rsidR="00AC4F9A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BC274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BC274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274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33,789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274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07,900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7919B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9A03F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228,089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Расходы на осуществление первичного воинского учёта на территориях, где отсутствуют воинские комиссариаты(Закупка товаров, работ и услуг для </w:t>
            </w:r>
            <w:r w:rsidRPr="00501B9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3634C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A25449" w:rsidRPr="00501B97">
              <w:rPr>
                <w:sz w:val="24"/>
                <w:szCs w:val="24"/>
              </w:rPr>
              <w:t>,5</w:t>
            </w:r>
          </w:p>
        </w:tc>
      </w:tr>
      <w:tr w:rsidR="000B7F66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804572" w:rsidP="00B70B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04572">
              <w:rPr>
                <w:b/>
                <w:sz w:val="24"/>
                <w:szCs w:val="24"/>
              </w:rPr>
              <w:t>5799,096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Pr="00CC7BD3">
        <w:rPr>
          <w:sz w:val="24"/>
          <w:szCs w:val="24"/>
        </w:rPr>
        <w:t xml:space="preserve"> от </w:t>
      </w:r>
      <w:r w:rsidR="009B46A4">
        <w:rPr>
          <w:sz w:val="24"/>
          <w:szCs w:val="24"/>
        </w:rPr>
        <w:t>01 августа</w:t>
      </w:r>
      <w:r w:rsidR="00665C93">
        <w:rPr>
          <w:sz w:val="24"/>
          <w:szCs w:val="24"/>
        </w:rPr>
        <w:t xml:space="preserve">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742F9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5799,096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C24A2E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1070,331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8B1A94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</w:t>
            </w:r>
            <w:r w:rsidR="007B3FB7"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8B1A94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F90B4F">
              <w:rPr>
                <w:bCs/>
                <w:sz w:val="24"/>
                <w:szCs w:val="24"/>
              </w:rPr>
              <w:t>,500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1026,622=52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25449" w:rsidRPr="00CC7BD3">
              <w:rPr>
                <w:sz w:val="24"/>
                <w:szCs w:val="24"/>
              </w:rPr>
              <w:t>0,000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996100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252F0">
              <w:rPr>
                <w:sz w:val="24"/>
                <w:szCs w:val="24"/>
              </w:rPr>
              <w:t>26,622=52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99610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99610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9961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610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07,900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97,800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228,089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44A" w:rsidRDefault="008B744A" w:rsidP="00BC5CE8">
      <w:r>
        <w:separator/>
      </w:r>
    </w:p>
  </w:endnote>
  <w:endnote w:type="continuationSeparator" w:id="1">
    <w:p w:rsidR="008B744A" w:rsidRDefault="008B744A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44A" w:rsidRDefault="008B744A" w:rsidP="00BC5CE8">
      <w:r>
        <w:separator/>
      </w:r>
    </w:p>
  </w:footnote>
  <w:footnote w:type="continuationSeparator" w:id="1">
    <w:p w:rsidR="008B744A" w:rsidRDefault="008B744A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037B7"/>
    <w:rsid w:val="00012653"/>
    <w:rsid w:val="000259F9"/>
    <w:rsid w:val="0002642D"/>
    <w:rsid w:val="00027349"/>
    <w:rsid w:val="00030F86"/>
    <w:rsid w:val="00050C22"/>
    <w:rsid w:val="000572C2"/>
    <w:rsid w:val="00060EAD"/>
    <w:rsid w:val="0008330D"/>
    <w:rsid w:val="000863C5"/>
    <w:rsid w:val="000865B7"/>
    <w:rsid w:val="00086783"/>
    <w:rsid w:val="00090AF5"/>
    <w:rsid w:val="000A78FF"/>
    <w:rsid w:val="000B165B"/>
    <w:rsid w:val="000B7F66"/>
    <w:rsid w:val="000D0F77"/>
    <w:rsid w:val="000D3AFB"/>
    <w:rsid w:val="000D61EE"/>
    <w:rsid w:val="000D762C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7501D"/>
    <w:rsid w:val="00180E1B"/>
    <w:rsid w:val="00186FDA"/>
    <w:rsid w:val="001A35BC"/>
    <w:rsid w:val="001A5370"/>
    <w:rsid w:val="001B29E4"/>
    <w:rsid w:val="001B3279"/>
    <w:rsid w:val="001C330E"/>
    <w:rsid w:val="001C7ACD"/>
    <w:rsid w:val="001E3449"/>
    <w:rsid w:val="00203740"/>
    <w:rsid w:val="0020507D"/>
    <w:rsid w:val="0020534B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7556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26"/>
    <w:rsid w:val="00315BC7"/>
    <w:rsid w:val="0031746C"/>
    <w:rsid w:val="003200DC"/>
    <w:rsid w:val="00320218"/>
    <w:rsid w:val="00321BAF"/>
    <w:rsid w:val="00333DB7"/>
    <w:rsid w:val="00343595"/>
    <w:rsid w:val="00353262"/>
    <w:rsid w:val="00355A87"/>
    <w:rsid w:val="00357FF2"/>
    <w:rsid w:val="003634C9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2FA9"/>
    <w:rsid w:val="004D46A9"/>
    <w:rsid w:val="004D7375"/>
    <w:rsid w:val="004F6829"/>
    <w:rsid w:val="00502958"/>
    <w:rsid w:val="0050776B"/>
    <w:rsid w:val="005252F0"/>
    <w:rsid w:val="00527BBB"/>
    <w:rsid w:val="00530D18"/>
    <w:rsid w:val="005422FC"/>
    <w:rsid w:val="00544115"/>
    <w:rsid w:val="0054601A"/>
    <w:rsid w:val="00555353"/>
    <w:rsid w:val="00560226"/>
    <w:rsid w:val="0056693D"/>
    <w:rsid w:val="005741FC"/>
    <w:rsid w:val="00581C8D"/>
    <w:rsid w:val="00583510"/>
    <w:rsid w:val="00585EC8"/>
    <w:rsid w:val="00591AE5"/>
    <w:rsid w:val="00595588"/>
    <w:rsid w:val="00595E8B"/>
    <w:rsid w:val="005A3E36"/>
    <w:rsid w:val="005A7A5B"/>
    <w:rsid w:val="005C08AB"/>
    <w:rsid w:val="005C0B8C"/>
    <w:rsid w:val="005D0A80"/>
    <w:rsid w:val="005D1B67"/>
    <w:rsid w:val="005D1EA8"/>
    <w:rsid w:val="005D7648"/>
    <w:rsid w:val="005F38D7"/>
    <w:rsid w:val="006014F7"/>
    <w:rsid w:val="00604F7C"/>
    <w:rsid w:val="00620E26"/>
    <w:rsid w:val="00623F62"/>
    <w:rsid w:val="00626EB2"/>
    <w:rsid w:val="0063085A"/>
    <w:rsid w:val="006327C2"/>
    <w:rsid w:val="00643D8F"/>
    <w:rsid w:val="00647048"/>
    <w:rsid w:val="0064706A"/>
    <w:rsid w:val="006553B8"/>
    <w:rsid w:val="006570F2"/>
    <w:rsid w:val="00657C40"/>
    <w:rsid w:val="00665C93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804572"/>
    <w:rsid w:val="0082543F"/>
    <w:rsid w:val="00826515"/>
    <w:rsid w:val="008311F9"/>
    <w:rsid w:val="008662C6"/>
    <w:rsid w:val="00870B43"/>
    <w:rsid w:val="00876016"/>
    <w:rsid w:val="00882B83"/>
    <w:rsid w:val="00885D5B"/>
    <w:rsid w:val="00890106"/>
    <w:rsid w:val="008920DC"/>
    <w:rsid w:val="00893C1C"/>
    <w:rsid w:val="008B1A94"/>
    <w:rsid w:val="008B744A"/>
    <w:rsid w:val="008E51DD"/>
    <w:rsid w:val="008E68F4"/>
    <w:rsid w:val="008E6C0A"/>
    <w:rsid w:val="008F409B"/>
    <w:rsid w:val="008F5AC5"/>
    <w:rsid w:val="008F770F"/>
    <w:rsid w:val="00913D1F"/>
    <w:rsid w:val="00923F57"/>
    <w:rsid w:val="009309CB"/>
    <w:rsid w:val="00935558"/>
    <w:rsid w:val="009434A9"/>
    <w:rsid w:val="00953EB4"/>
    <w:rsid w:val="00963146"/>
    <w:rsid w:val="0099155E"/>
    <w:rsid w:val="00996100"/>
    <w:rsid w:val="009A03F0"/>
    <w:rsid w:val="009B46A4"/>
    <w:rsid w:val="009D0317"/>
    <w:rsid w:val="009D28A2"/>
    <w:rsid w:val="009D3B06"/>
    <w:rsid w:val="009E2C71"/>
    <w:rsid w:val="009E7274"/>
    <w:rsid w:val="009F28DC"/>
    <w:rsid w:val="009F327F"/>
    <w:rsid w:val="00A04A37"/>
    <w:rsid w:val="00A06AAC"/>
    <w:rsid w:val="00A10D75"/>
    <w:rsid w:val="00A25449"/>
    <w:rsid w:val="00A3390D"/>
    <w:rsid w:val="00A341A6"/>
    <w:rsid w:val="00A362C8"/>
    <w:rsid w:val="00A36A60"/>
    <w:rsid w:val="00A37AEC"/>
    <w:rsid w:val="00A405A9"/>
    <w:rsid w:val="00A44FB6"/>
    <w:rsid w:val="00A70B45"/>
    <w:rsid w:val="00A7503D"/>
    <w:rsid w:val="00A865D5"/>
    <w:rsid w:val="00A9692F"/>
    <w:rsid w:val="00A9762B"/>
    <w:rsid w:val="00AA4332"/>
    <w:rsid w:val="00AA53C6"/>
    <w:rsid w:val="00AB1F53"/>
    <w:rsid w:val="00AC26F7"/>
    <w:rsid w:val="00AC4F9A"/>
    <w:rsid w:val="00AC61AE"/>
    <w:rsid w:val="00AE3476"/>
    <w:rsid w:val="00AF17E6"/>
    <w:rsid w:val="00AF1B93"/>
    <w:rsid w:val="00AF5328"/>
    <w:rsid w:val="00AF5426"/>
    <w:rsid w:val="00B01322"/>
    <w:rsid w:val="00B1638D"/>
    <w:rsid w:val="00B20F55"/>
    <w:rsid w:val="00B259D4"/>
    <w:rsid w:val="00B35CD3"/>
    <w:rsid w:val="00B41322"/>
    <w:rsid w:val="00B4512B"/>
    <w:rsid w:val="00B46FAC"/>
    <w:rsid w:val="00B57698"/>
    <w:rsid w:val="00B70B17"/>
    <w:rsid w:val="00BA1954"/>
    <w:rsid w:val="00BA50FE"/>
    <w:rsid w:val="00BA5993"/>
    <w:rsid w:val="00BB1BF8"/>
    <w:rsid w:val="00BB1D81"/>
    <w:rsid w:val="00BB3D6C"/>
    <w:rsid w:val="00BB6BB8"/>
    <w:rsid w:val="00BC274A"/>
    <w:rsid w:val="00BC59A7"/>
    <w:rsid w:val="00BC5CE8"/>
    <w:rsid w:val="00BC6FB6"/>
    <w:rsid w:val="00BC7EA7"/>
    <w:rsid w:val="00BD4F4A"/>
    <w:rsid w:val="00BE6976"/>
    <w:rsid w:val="00C00459"/>
    <w:rsid w:val="00C027E4"/>
    <w:rsid w:val="00C140C5"/>
    <w:rsid w:val="00C20227"/>
    <w:rsid w:val="00C23A89"/>
    <w:rsid w:val="00C24A2E"/>
    <w:rsid w:val="00C3323A"/>
    <w:rsid w:val="00C33A81"/>
    <w:rsid w:val="00C37FC1"/>
    <w:rsid w:val="00C417C9"/>
    <w:rsid w:val="00C56A5E"/>
    <w:rsid w:val="00C728A7"/>
    <w:rsid w:val="00C87446"/>
    <w:rsid w:val="00CA33AA"/>
    <w:rsid w:val="00CA4EFF"/>
    <w:rsid w:val="00CC0B4C"/>
    <w:rsid w:val="00CC0B9F"/>
    <w:rsid w:val="00CD117F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23EA"/>
    <w:rsid w:val="00DD6509"/>
    <w:rsid w:val="00DF58F2"/>
    <w:rsid w:val="00DF5AF0"/>
    <w:rsid w:val="00E00EDF"/>
    <w:rsid w:val="00E04C48"/>
    <w:rsid w:val="00E069E0"/>
    <w:rsid w:val="00E07C67"/>
    <w:rsid w:val="00E14EA8"/>
    <w:rsid w:val="00E15337"/>
    <w:rsid w:val="00E20CF9"/>
    <w:rsid w:val="00E230AC"/>
    <w:rsid w:val="00E44D27"/>
    <w:rsid w:val="00E466E0"/>
    <w:rsid w:val="00E50639"/>
    <w:rsid w:val="00E51FD9"/>
    <w:rsid w:val="00E53AB4"/>
    <w:rsid w:val="00E73452"/>
    <w:rsid w:val="00E7573F"/>
    <w:rsid w:val="00E8559E"/>
    <w:rsid w:val="00E85CDF"/>
    <w:rsid w:val="00E927B3"/>
    <w:rsid w:val="00E94891"/>
    <w:rsid w:val="00E96CD4"/>
    <w:rsid w:val="00E96EF2"/>
    <w:rsid w:val="00EB337E"/>
    <w:rsid w:val="00EB3ADA"/>
    <w:rsid w:val="00EB6DB2"/>
    <w:rsid w:val="00EC1434"/>
    <w:rsid w:val="00EC1734"/>
    <w:rsid w:val="00ED224D"/>
    <w:rsid w:val="00EF7D0E"/>
    <w:rsid w:val="00F05F4F"/>
    <w:rsid w:val="00F1080E"/>
    <w:rsid w:val="00F13B25"/>
    <w:rsid w:val="00F1493D"/>
    <w:rsid w:val="00F27CA5"/>
    <w:rsid w:val="00F36210"/>
    <w:rsid w:val="00F50E2F"/>
    <w:rsid w:val="00F54DF6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4364</TotalTime>
  <Pages>1</Pages>
  <Words>4618</Words>
  <Characters>26328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119</cp:revision>
  <cp:lastPrinted>2017-09-13T09:20:00Z</cp:lastPrinted>
  <dcterms:created xsi:type="dcterms:W3CDTF">2016-05-23T06:42:00Z</dcterms:created>
  <dcterms:modified xsi:type="dcterms:W3CDTF">2017-09-13T09:21:00Z</dcterms:modified>
</cp:coreProperties>
</file>